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5" w:rsidRPr="00C556DB" w:rsidRDefault="00600165" w:rsidP="00600165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НЕОБХОДИМОСТИ ПРОХОЖДЕНИЯ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600165" w:rsidRPr="00373E29" w:rsidRDefault="00600165" w:rsidP="00600165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2916" w:rsidRDefault="002A7F30" w:rsidP="007B3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BB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Краевое государственное автономное профессиональное образовательное учреждение  </w:t>
      </w:r>
      <w:r w:rsidR="00600165" w:rsidRPr="00D559BB">
        <w:rPr>
          <w:rFonts w:ascii="Times New Roman" w:hAnsi="Times New Roman" w:cs="Times New Roman"/>
          <w:sz w:val="28"/>
          <w:szCs w:val="28"/>
        </w:rPr>
        <w:t>«</w:t>
      </w:r>
      <w:r w:rsidR="00D559BB" w:rsidRPr="00D559BB">
        <w:rPr>
          <w:rFonts w:ascii="Times New Roman" w:hAnsi="Times New Roman" w:cs="Times New Roman"/>
          <w:sz w:val="28"/>
          <w:szCs w:val="28"/>
        </w:rPr>
        <w:t>Хабаровский технологический колледж</w:t>
      </w:r>
      <w:r w:rsidR="00600165" w:rsidRPr="00D559BB">
        <w:rPr>
          <w:rFonts w:ascii="Times New Roman" w:hAnsi="Times New Roman" w:cs="Times New Roman"/>
          <w:sz w:val="28"/>
          <w:szCs w:val="28"/>
        </w:rPr>
        <w:t>»</w:t>
      </w:r>
      <w:r w:rsidR="00600165" w:rsidRPr="00AE7272">
        <w:rPr>
          <w:rFonts w:ascii="Times New Roman" w:hAnsi="Times New Roman" w:cs="Times New Roman"/>
          <w:sz w:val="28"/>
          <w:szCs w:val="28"/>
        </w:rPr>
        <w:t> ведет прием на обучение по специальностям/профессиям</w:t>
      </w:r>
      <w:r w:rsidR="00600165"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165">
        <w:rPr>
          <w:rFonts w:ascii="Times New Roman" w:eastAsia="Calibri" w:hAnsi="Times New Roman" w:cs="Times New Roman"/>
          <w:sz w:val="28"/>
          <w:szCs w:val="28"/>
        </w:rPr>
        <w:t xml:space="preserve">43.02.02 Технология эстетических услуг, </w:t>
      </w:r>
      <w:r w:rsidR="00600165" w:rsidRPr="00AE72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="00D559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43.01.01 Официант, бармен, 43.01.09 Повар, кондитер, 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12901 Кондитер; </w:t>
      </w:r>
      <w:r w:rsidR="00600165" w:rsidRPr="00AE7272">
        <w:rPr>
          <w:rFonts w:ascii="Times New Roman" w:eastAsia="Calibri" w:hAnsi="Times New Roman" w:cs="Times New Roman"/>
          <w:spacing w:val="-5"/>
          <w:sz w:val="28"/>
          <w:szCs w:val="28"/>
        </w:rPr>
        <w:t>16675 Повар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относящихся к н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аправлениям требующих проведения</w:t>
      </w:r>
      <w:r w:rsidR="0060016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обязательных предварительных и периодических медицинских осмотров работников, предусмотренных частью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4 статьи 213 Трудового кодекса Российской Федерации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входящим в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утвержденный приказом от 31 декабря 2020 года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Министерства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труда и социальной защиты российской федерации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№ 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988н </w:t>
      </w:r>
      <w:bookmarkStart w:id="0" w:name="dst100003"/>
      <w:bookmarkEnd w:id="0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 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>Министерств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здравоохранения Российской Федерации </w:t>
      </w:r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№</w:t>
      </w:r>
      <w:r w:rsidR="007B3CA1" w:rsidRPr="007B3CA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1420н</w:t>
      </w:r>
      <w:bookmarkStart w:id="1" w:name="dst100004"/>
      <w:bookmarkEnd w:id="1"/>
      <w:r w:rsidR="007B3CA1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600165" w:rsidRPr="00AE7272" w:rsidRDefault="00600165" w:rsidP="007B3C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</w:t>
      </w:r>
      <w:r w:rsidR="002A7F30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направлениям подготовки,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поступающий предоставляет оригинал или копию медицинской справки, содержащей сведения о проведении медицинского осмотра в соответствии с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CA1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7B3CA1">
        <w:rPr>
          <w:rFonts w:ascii="Times New Roman" w:hAnsi="Times New Roman" w:cs="Times New Roman"/>
          <w:b/>
          <w:sz w:val="28"/>
          <w:szCs w:val="28"/>
        </w:rPr>
        <w:t>врачей-специалистов, лабораторных и функциональных исследований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приказом Министерства здравоохранения Российской Федерации от 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 xml:space="preserve">28 января 2021 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7B3CA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н «</w:t>
      </w:r>
      <w:r w:rsidR="007B3CA1" w:rsidRPr="007B3CA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0165" w:rsidRDefault="00600165" w:rsidP="007B3C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600165" w:rsidRDefault="00600165" w:rsidP="00600165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600165" w:rsidRDefault="00600165" w:rsidP="00600165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>» врачом</w:t>
      </w:r>
      <w:r w:rsidR="007B3CA1">
        <w:rPr>
          <w:rFonts w:eastAsia="Calibri"/>
          <w:sz w:val="28"/>
          <w:szCs w:val="28"/>
        </w:rPr>
        <w:t>-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600165" w:rsidRPr="000D0905" w:rsidRDefault="00600165" w:rsidP="0060016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415346" w:rsidRDefault="00415346" w:rsidP="0041534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90E1B">
        <w:rPr>
          <w:b/>
          <w:bCs/>
          <w:sz w:val="28"/>
          <w:szCs w:val="28"/>
          <w:bdr w:val="none" w:sz="0" w:space="0" w:color="auto" w:frame="1"/>
        </w:rPr>
        <w:lastRenderedPageBreak/>
        <w:t>Перечень дополнительных врачей-специалистов, лабораторных и функциональных исследований для оформления медицинской справки для поступающих на обучение по специальностям</w:t>
      </w:r>
      <w:r w:rsidR="00CC1B23" w:rsidRPr="00990E1B">
        <w:rPr>
          <w:b/>
          <w:bCs/>
          <w:sz w:val="28"/>
          <w:szCs w:val="28"/>
          <w:bdr w:val="none" w:sz="0" w:space="0" w:color="auto" w:frame="1"/>
        </w:rPr>
        <w:t>/профессиям</w:t>
      </w:r>
      <w:r w:rsidR="00CC1B23" w:rsidRPr="00990E1B">
        <w:rPr>
          <w:rStyle w:val="a8"/>
          <w:b/>
          <w:bCs/>
          <w:sz w:val="28"/>
          <w:szCs w:val="28"/>
          <w:bdr w:val="none" w:sz="0" w:space="0" w:color="auto" w:frame="1"/>
        </w:rPr>
        <w:footnoteReference w:id="1"/>
      </w:r>
      <w:r w:rsidRPr="00990E1B">
        <w:rPr>
          <w:b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41534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90E1B" w:rsidRDefault="00415346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</w:p>
    <w:p w:rsidR="00D559BB" w:rsidRDefault="00D559BB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43.01.01 Официант, бармен;</w:t>
      </w:r>
    </w:p>
    <w:p w:rsidR="00990E1B" w:rsidRDefault="00990E1B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43.01.09 Повар, кондитер</w:t>
      </w:r>
      <w:r w:rsidR="00D559B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415346" w:rsidRDefault="00415346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990E1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12901 Кондитер; 16675 Повар</w:t>
      </w:r>
    </w:p>
    <w:p w:rsidR="00990E1B" w:rsidRPr="00990E1B" w:rsidRDefault="00990E1B" w:rsidP="00415346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7184"/>
      </w:tblGrid>
      <w:tr w:rsidR="00990E1B" w:rsidRPr="00990E1B" w:rsidTr="00990E1B">
        <w:tc>
          <w:tcPr>
            <w:tcW w:w="2405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7655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Лабораторные и функциональные исследования</w:t>
            </w:r>
          </w:p>
        </w:tc>
      </w:tr>
      <w:tr w:rsidR="00990E1B" w:rsidRPr="00990E1B" w:rsidTr="007B3CA1">
        <w:trPr>
          <w:trHeight w:val="2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Исследование крови на сифилис</w:t>
            </w:r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гельминтозы - не реже 1 раза в год либо по </w:t>
            </w:r>
            <w:proofErr w:type="spellStart"/>
            <w:r w:rsidRPr="00990E1B">
              <w:rPr>
                <w:sz w:val="28"/>
                <w:szCs w:val="28"/>
              </w:rPr>
              <w:t>эпидпоказаниям</w:t>
            </w:r>
            <w:proofErr w:type="spellEnd"/>
          </w:p>
          <w:p w:rsidR="00990E1B" w:rsidRPr="00990E1B" w:rsidRDefault="00990E1B" w:rsidP="00990E1B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Мазок из зева и носа на наличие патогенного стафилококка </w:t>
            </w:r>
          </w:p>
        </w:tc>
      </w:tr>
    </w:tbl>
    <w:p w:rsidR="00415346" w:rsidRPr="00990E1B" w:rsidRDefault="00415346" w:rsidP="00415346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5346" w:rsidRPr="00990E1B" w:rsidRDefault="00415346" w:rsidP="00767B52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415346" w:rsidRPr="00990E1B" w:rsidRDefault="00415346" w:rsidP="00767B52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415346" w:rsidRPr="00990E1B" w:rsidRDefault="00415346" w:rsidP="00767B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ХТК); наименование специальности;</w:t>
      </w:r>
    </w:p>
    <w:p w:rsidR="00E63137" w:rsidRPr="00990E1B" w:rsidRDefault="00415346" w:rsidP="00E173A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160" w:line="259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 выявлены, не выявлены).</w:t>
      </w:r>
    </w:p>
    <w:p w:rsidR="007B3CA1" w:rsidRPr="007B3CA1" w:rsidRDefault="00415346" w:rsidP="00E173A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center" w:pos="1134"/>
        </w:tabs>
        <w:spacing w:after="160" w:line="259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МЕДИЦИНСКИЕ ПРОТИВОПОКАЗАНИЯ</w:t>
      </w:r>
    </w:p>
    <w:p w:rsidR="00990E1B" w:rsidRPr="00990E1B" w:rsidRDefault="00990E1B" w:rsidP="00990E1B">
      <w:pPr>
        <w:tabs>
          <w:tab w:val="left" w:pos="993"/>
        </w:tabs>
        <w:spacing w:after="120" w:line="240" w:lineRule="auto"/>
        <w:ind w:right="-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Заболевания и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бактерионосительство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327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Кишечные инфекции (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брюшной тиф, паратифы, сальмонеллез, дизентерия);</w:t>
      </w:r>
    </w:p>
    <w:p w:rsidR="00990E1B" w:rsidRPr="00990E1B" w:rsidRDefault="00990E1B" w:rsidP="00990E1B">
      <w:pPr>
        <w:pStyle w:val="a5"/>
        <w:numPr>
          <w:ilvl w:val="0"/>
          <w:numId w:val="5"/>
        </w:numPr>
        <w:tabs>
          <w:tab w:val="left" w:pos="412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1B">
        <w:rPr>
          <w:rFonts w:ascii="Times New Roman" w:hAnsi="Times New Roman" w:cs="Times New Roman"/>
          <w:sz w:val="28"/>
          <w:szCs w:val="28"/>
        </w:rPr>
        <w:lastRenderedPageBreak/>
        <w:t>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Активный прогрессирующий,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сифилис в заразном периоде;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Вирусные инфекции, микозы, педикулез и другие инфестации, с поражениями открытых участков кожи и слизистых оболочек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(лепра, педикулез, 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болезни кожи и подкожной клетчатки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(заразные кожные заболевания: чесотка, трихофития, микроспория, парша, актиномикоз с изъязвлениями или свищами на открытых частях тела, туберкулезной волчанки лица и рук; инфекции кожи и подкожной клетчатки,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озена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Гельминтозы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</w:t>
      </w:r>
    </w:p>
    <w:p w:rsidR="00990E1B" w:rsidRPr="00990E1B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Другие дегенеративные болезни центральной нервной системы</w:t>
      </w:r>
    </w:p>
    <w:p w:rsidR="00990E1B" w:rsidRPr="007B3CA1" w:rsidRDefault="00990E1B" w:rsidP="00990E1B">
      <w:pPr>
        <w:pStyle w:val="a3"/>
        <w:numPr>
          <w:ilvl w:val="0"/>
          <w:numId w:val="5"/>
        </w:numPr>
        <w:tabs>
          <w:tab w:val="left" w:pos="412"/>
        </w:tabs>
        <w:spacing w:after="120" w:line="240" w:lineRule="auto"/>
        <w:ind w:left="0" w:right="-181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и затяжные психические расстройства с тяжелыми стойкими или часто обостряющимися болезненными проявлениями</w:t>
      </w:r>
      <w:r w:rsidR="007B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A1" w:rsidRDefault="007B3CA1" w:rsidP="007B3CA1">
      <w:pPr>
        <w:tabs>
          <w:tab w:val="left" w:pos="412"/>
        </w:tabs>
        <w:spacing w:after="120" w:line="240" w:lineRule="auto"/>
        <w:ind w:right="-18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A6C25" w:rsidRPr="00990E1B" w:rsidRDefault="004A6C25" w:rsidP="004A6C2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дополнительных врачей-специалистов, лабораторных и функциональных исследований для оформления медицинской справки для поступающих на обучение по специальности</w:t>
      </w:r>
      <w:r w:rsidR="00767B52" w:rsidRPr="00990E1B"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footnoteReference w:id="2"/>
      </w: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0" w:line="36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43.02.12 Технология эстетических услуг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0" w:line="36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338"/>
      </w:tblGrid>
      <w:tr w:rsidR="00990E1B" w:rsidRPr="00990E1B" w:rsidTr="00990E1B">
        <w:tc>
          <w:tcPr>
            <w:tcW w:w="2308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6906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Лабораторные и функциональные исследования</w:t>
            </w:r>
            <w:r w:rsidRPr="00990E1B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</w:p>
        </w:tc>
      </w:tr>
      <w:tr w:rsidR="00990E1B" w:rsidRPr="00990E1B" w:rsidTr="00990E1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</w:t>
            </w:r>
            <w:proofErr w:type="spellStart"/>
            <w:r w:rsidRPr="00990E1B">
              <w:rPr>
                <w:sz w:val="28"/>
                <w:szCs w:val="28"/>
              </w:rPr>
              <w:t>дерматовенеролог</w:t>
            </w:r>
            <w:proofErr w:type="spellEnd"/>
          </w:p>
          <w:p w:rsidR="00990E1B" w:rsidRPr="00990E1B" w:rsidRDefault="00990E1B" w:rsidP="00E63137">
            <w:pPr>
              <w:pStyle w:val="a5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>Исследование крови на сифилис</w:t>
            </w:r>
          </w:p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Мазки на гонорею </w:t>
            </w:r>
          </w:p>
          <w:p w:rsidR="00990E1B" w:rsidRPr="00990E1B" w:rsidRDefault="00990E1B" w:rsidP="00E63137">
            <w:pPr>
              <w:pStyle w:val="a5"/>
              <w:numPr>
                <w:ilvl w:val="0"/>
                <w:numId w:val="7"/>
              </w:numPr>
              <w:tabs>
                <w:tab w:val="left" w:pos="299"/>
              </w:tabs>
              <w:ind w:left="44" w:firstLine="0"/>
              <w:rPr>
                <w:sz w:val="28"/>
                <w:szCs w:val="28"/>
              </w:rPr>
            </w:pPr>
            <w:r w:rsidRPr="00990E1B">
              <w:rPr>
                <w:sz w:val="28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</w:tr>
    </w:tbl>
    <w:p w:rsid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990E1B" w:rsidRDefault="00990E1B" w:rsidP="00990E1B">
      <w:pPr>
        <w:shd w:val="clear" w:color="auto" w:fill="FFFFFF"/>
        <w:tabs>
          <w:tab w:val="left" w:pos="993"/>
        </w:tabs>
        <w:spacing w:after="120" w:line="24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4A6C25" w:rsidRPr="00990E1B" w:rsidRDefault="004A6C25" w:rsidP="00990E1B">
      <w:pPr>
        <w:shd w:val="clear" w:color="auto" w:fill="FFFFFF"/>
        <w:tabs>
          <w:tab w:val="left" w:pos="993"/>
        </w:tabs>
        <w:spacing w:after="12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center" w:pos="1134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left" w:pos="1036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tabs>
          <w:tab w:val="left" w:pos="1036"/>
        </w:tabs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ХТК); наименование специальности;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 выявлены, не выявлены).</w:t>
      </w:r>
    </w:p>
    <w:p w:rsidR="004A6C25" w:rsidRPr="00990E1B" w:rsidRDefault="004A6C25" w:rsidP="00990E1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0E1B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15346" w:rsidRPr="00990E1B" w:rsidRDefault="00415346" w:rsidP="00415346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0E1B" w:rsidRPr="00990E1B" w:rsidRDefault="00990E1B" w:rsidP="00990E1B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990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МЕДИЦИНСКИЕ ПРОТИВОПОКАЗАНИЯ</w:t>
      </w:r>
    </w:p>
    <w:p w:rsidR="00990E1B" w:rsidRDefault="00990E1B" w:rsidP="00990E1B">
      <w:pPr>
        <w:tabs>
          <w:tab w:val="left" w:pos="993"/>
        </w:tabs>
        <w:spacing w:after="120" w:line="240" w:lineRule="auto"/>
        <w:ind w:right="-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Заболевания и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бактерионосительство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327"/>
        </w:tabs>
        <w:spacing w:after="120" w:line="240" w:lineRule="auto"/>
        <w:ind w:left="0" w:right="-18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3" w:name="_GoBack"/>
      <w:bookmarkEnd w:id="3"/>
      <w:r w:rsidRPr="00990E1B">
        <w:rPr>
          <w:rFonts w:ascii="Times New Roman" w:hAnsi="Times New Roman" w:cs="Times New Roman"/>
          <w:sz w:val="28"/>
          <w:szCs w:val="28"/>
        </w:rPr>
        <w:t>Кишечные инфекции (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брюшной тиф, паратифы, сальмонеллез, дизентерия);</w:t>
      </w:r>
    </w:p>
    <w:p w:rsidR="00990E1B" w:rsidRPr="00990E1B" w:rsidRDefault="00990E1B" w:rsidP="00990E1B">
      <w:pPr>
        <w:pStyle w:val="a5"/>
        <w:numPr>
          <w:ilvl w:val="0"/>
          <w:numId w:val="6"/>
        </w:numPr>
        <w:tabs>
          <w:tab w:val="left" w:pos="412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E1B">
        <w:rPr>
          <w:rFonts w:ascii="Times New Roman" w:hAnsi="Times New Roman" w:cs="Times New Roman"/>
          <w:sz w:val="28"/>
          <w:szCs w:val="28"/>
        </w:rPr>
        <w:t>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Активный прогрессирующий,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сифилис в заразном периоде;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Вирусные инфекции, микозы, педикулез и другие инфестации, с поражениями открытых участков кожи и слизистых оболочек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(лепра, педикулез, 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Хронические болезни кожи и подкожной клетчатки</w:t>
      </w: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(заразные кожные заболевания: чесотка, трихофития, микроспория, парша, актиномикоз с изъязвлениями или свищами на открытых частях тела, туберкулезной волчанки лица и рук; инфекции кожи и подкожной клетчатки, </w:t>
      </w:r>
      <w:proofErr w:type="spellStart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озена</w:t>
      </w:r>
      <w:proofErr w:type="spellEnd"/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Гельминтозы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</w:t>
      </w:r>
    </w:p>
    <w:p w:rsidR="00990E1B" w:rsidRPr="00990E1B" w:rsidRDefault="00990E1B" w:rsidP="00990E1B">
      <w:pPr>
        <w:pStyle w:val="a3"/>
        <w:numPr>
          <w:ilvl w:val="0"/>
          <w:numId w:val="6"/>
        </w:numPr>
        <w:tabs>
          <w:tab w:val="left" w:pos="412"/>
        </w:tabs>
        <w:spacing w:after="120" w:line="240" w:lineRule="auto"/>
        <w:ind w:left="0" w:right="-181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0E1B">
        <w:rPr>
          <w:rFonts w:ascii="Times New Roman" w:hAnsi="Times New Roman" w:cs="Times New Roman"/>
          <w:sz w:val="28"/>
          <w:szCs w:val="28"/>
        </w:rPr>
        <w:t>Другие дегенеративные болезни центральной нервной системы</w:t>
      </w:r>
    </w:p>
    <w:p w:rsidR="00921F40" w:rsidRPr="007B3CA1" w:rsidRDefault="00990E1B" w:rsidP="00BA6646">
      <w:pPr>
        <w:pStyle w:val="a3"/>
        <w:numPr>
          <w:ilvl w:val="0"/>
          <w:numId w:val="6"/>
        </w:numPr>
        <w:shd w:val="clear" w:color="auto" w:fill="FFFFFF"/>
        <w:tabs>
          <w:tab w:val="left" w:pos="412"/>
          <w:tab w:val="left" w:pos="993"/>
        </w:tabs>
        <w:spacing w:after="120" w:line="240" w:lineRule="auto"/>
        <w:ind w:left="0" w:right="-130" w:firstLine="0"/>
        <w:jc w:val="both"/>
        <w:textAlignment w:val="baseline"/>
        <w:rPr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Хронические и затяжные психические расстройства с тяжелыми стойкими или часто обостряющимися болезненными проявлениями</w:t>
      </w:r>
    </w:p>
    <w:sectPr w:rsidR="00921F40" w:rsidRPr="007B3CA1" w:rsidSect="00625B8B">
      <w:footnotePr>
        <w:numFmt w:val="chicago"/>
      </w:footnotePr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50" w:rsidRDefault="00320250" w:rsidP="00CC1B23">
      <w:pPr>
        <w:spacing w:after="0" w:line="240" w:lineRule="auto"/>
      </w:pPr>
      <w:r>
        <w:separator/>
      </w:r>
    </w:p>
  </w:endnote>
  <w:endnote w:type="continuationSeparator" w:id="0">
    <w:p w:rsidR="00320250" w:rsidRDefault="00320250" w:rsidP="00C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50" w:rsidRDefault="00320250" w:rsidP="00CC1B23">
      <w:pPr>
        <w:spacing w:after="0" w:line="240" w:lineRule="auto"/>
      </w:pPr>
      <w:r>
        <w:separator/>
      </w:r>
    </w:p>
  </w:footnote>
  <w:footnote w:type="continuationSeparator" w:id="0">
    <w:p w:rsidR="00320250" w:rsidRDefault="00320250" w:rsidP="00CC1B23">
      <w:pPr>
        <w:spacing w:after="0" w:line="240" w:lineRule="auto"/>
      </w:pPr>
      <w:r>
        <w:continuationSeparator/>
      </w:r>
    </w:p>
  </w:footnote>
  <w:footnote w:id="1">
    <w:p w:rsidR="00CC1B23" w:rsidRPr="00CC1B23" w:rsidRDefault="00CC1B23" w:rsidP="00CC1B2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B23">
        <w:rPr>
          <w:rStyle w:val="a8"/>
          <w:rFonts w:ascii="Times New Roman" w:hAnsi="Times New Roman" w:cs="Times New Roman"/>
          <w:b/>
          <w:sz w:val="20"/>
          <w:szCs w:val="20"/>
        </w:rPr>
        <w:footnoteRef/>
      </w:r>
      <w:r w:rsidRPr="00CC1B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1B23">
        <w:rPr>
          <w:rFonts w:ascii="Times New Roman" w:hAnsi="Times New Roman" w:cs="Times New Roman"/>
          <w:sz w:val="20"/>
          <w:szCs w:val="20"/>
        </w:rPr>
        <w:t>П.23</w:t>
      </w:r>
      <w:r w:rsidRPr="00CC1B2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sub_11000"/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Приложения к </w:t>
      </w:r>
      <w:r w:rsidRPr="00CC1B23">
        <w:rPr>
          <w:rStyle w:val="aa"/>
          <w:rFonts w:ascii="Times New Roman" w:hAnsi="Times New Roman"/>
          <w:color w:val="auto"/>
          <w:sz w:val="20"/>
          <w:szCs w:val="20"/>
        </w:rPr>
        <w:t>Порядку</w:t>
      </w:r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 w:rsidRPr="00CC1B23">
        <w:rPr>
          <w:rStyle w:val="aa"/>
          <w:rFonts w:ascii="Times New Roman" w:hAnsi="Times New Roman"/>
          <w:b/>
          <w:color w:val="auto"/>
          <w:sz w:val="20"/>
          <w:szCs w:val="20"/>
        </w:rPr>
        <w:t>приказом</w:t>
      </w:r>
      <w:r w:rsidRPr="00CC1B23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Министерства здравоохранения Российской Федерации от 28 января 2021 г. N 29н</w:t>
      </w:r>
    </w:p>
    <w:bookmarkEnd w:id="2"/>
    <w:p w:rsidR="00CC1B23" w:rsidRDefault="00CC1B23">
      <w:pPr>
        <w:pStyle w:val="a6"/>
      </w:pPr>
    </w:p>
  </w:footnote>
  <w:footnote w:id="2">
    <w:p w:rsidR="00767B52" w:rsidRDefault="00767B52">
      <w:pPr>
        <w:pStyle w:val="a6"/>
      </w:pPr>
      <w:r>
        <w:rPr>
          <w:rStyle w:val="a8"/>
        </w:rPr>
        <w:footnoteRef/>
      </w:r>
      <w:r>
        <w:t xml:space="preserve"> </w:t>
      </w:r>
      <w:r w:rsidR="005E2256" w:rsidRPr="00CC1B23">
        <w:rPr>
          <w:rFonts w:ascii="Times New Roman" w:hAnsi="Times New Roman" w:cs="Times New Roman"/>
        </w:rPr>
        <w:t>П.</w:t>
      </w:r>
      <w:r w:rsidR="005E2256">
        <w:rPr>
          <w:rFonts w:ascii="Times New Roman" w:hAnsi="Times New Roman" w:cs="Times New Roman"/>
        </w:rPr>
        <w:t>26</w:t>
      </w:r>
      <w:r w:rsidR="005E2256" w:rsidRPr="00CC1B23">
        <w:rPr>
          <w:rFonts w:ascii="Times New Roman" w:hAnsi="Times New Roman" w:cs="Times New Roman"/>
          <w:b/>
        </w:rPr>
        <w:t xml:space="preserve"> 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Приложения к </w:t>
      </w:r>
      <w:r w:rsidR="005E2256" w:rsidRPr="00CC1B23">
        <w:rPr>
          <w:rStyle w:val="aa"/>
          <w:rFonts w:ascii="Times New Roman" w:hAnsi="Times New Roman"/>
          <w:color w:val="auto"/>
        </w:rPr>
        <w:t>Порядку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 w:rsidR="005E2256" w:rsidRPr="00CC1B23">
        <w:rPr>
          <w:rStyle w:val="aa"/>
          <w:rFonts w:ascii="Times New Roman" w:hAnsi="Times New Roman"/>
          <w:b/>
          <w:color w:val="auto"/>
        </w:rPr>
        <w:t>приказом</w:t>
      </w:r>
      <w:r w:rsidR="005E2256" w:rsidRPr="00CC1B2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Министерства здравоохранения Российской Федерации от 28 января 2021 г. N 29н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274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0EBE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0620"/>
    <w:multiLevelType w:val="hybridMultilevel"/>
    <w:tmpl w:val="1E9A3FA8"/>
    <w:lvl w:ilvl="0" w:tplc="2682C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702888"/>
    <w:multiLevelType w:val="hybridMultilevel"/>
    <w:tmpl w:val="2E36470E"/>
    <w:lvl w:ilvl="0" w:tplc="4DA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9D341D"/>
    <w:multiLevelType w:val="hybridMultilevel"/>
    <w:tmpl w:val="0BA4FF3E"/>
    <w:lvl w:ilvl="0" w:tplc="98E2A2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486DA3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E45C9D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E0216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46"/>
    <w:rsid w:val="000B307A"/>
    <w:rsid w:val="002A7F30"/>
    <w:rsid w:val="00320250"/>
    <w:rsid w:val="00415346"/>
    <w:rsid w:val="00482916"/>
    <w:rsid w:val="004A6C25"/>
    <w:rsid w:val="005E2256"/>
    <w:rsid w:val="00600165"/>
    <w:rsid w:val="0070612F"/>
    <w:rsid w:val="00767B52"/>
    <w:rsid w:val="007B3CA1"/>
    <w:rsid w:val="00806CCD"/>
    <w:rsid w:val="00921F40"/>
    <w:rsid w:val="00990E1B"/>
    <w:rsid w:val="00B6294E"/>
    <w:rsid w:val="00CC1B23"/>
    <w:rsid w:val="00D559BB"/>
    <w:rsid w:val="00E63137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34AF-5B96-4429-8F81-12C9B0C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C1B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B23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1B23"/>
    <w:rPr>
      <w:vertAlign w:val="superscript"/>
    </w:rPr>
  </w:style>
  <w:style w:type="character" w:customStyle="1" w:styleId="a9">
    <w:name w:val="Цветовое выделение"/>
    <w:uiPriority w:val="99"/>
    <w:rsid w:val="00CC1B23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C1B23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6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1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600165"/>
  </w:style>
  <w:style w:type="character" w:styleId="ad">
    <w:name w:val="Hyperlink"/>
    <w:basedOn w:val="a0"/>
    <w:uiPriority w:val="99"/>
    <w:semiHidden/>
    <w:unhideWhenUsed/>
    <w:rsid w:val="0060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510B-03FB-41E9-9BAE-F19E868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PRKOM1</dc:creator>
  <cp:keywords/>
  <dc:description/>
  <cp:lastModifiedBy>NMironenko</cp:lastModifiedBy>
  <cp:revision>6</cp:revision>
  <cp:lastPrinted>2021-07-01T10:14:00Z</cp:lastPrinted>
  <dcterms:created xsi:type="dcterms:W3CDTF">2021-07-05T09:10:00Z</dcterms:created>
  <dcterms:modified xsi:type="dcterms:W3CDTF">2022-02-27T05:41:00Z</dcterms:modified>
</cp:coreProperties>
</file>