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7D" w:rsidRPr="005A547D" w:rsidRDefault="005A547D" w:rsidP="005A547D">
      <w:pPr>
        <w:pStyle w:val="Default"/>
        <w:widowControl w:val="0"/>
        <w:spacing w:after="240"/>
        <w:jc w:val="center"/>
        <w:rPr>
          <w:b/>
          <w:color w:val="auto"/>
          <w:sz w:val="28"/>
          <w:szCs w:val="28"/>
        </w:rPr>
      </w:pPr>
      <w:r w:rsidRPr="005A547D">
        <w:rPr>
          <w:b/>
          <w:sz w:val="28"/>
          <w:szCs w:val="28"/>
        </w:rPr>
        <w:t xml:space="preserve">Порядок </w:t>
      </w:r>
      <w:r w:rsidRPr="005A547D">
        <w:rPr>
          <w:b/>
          <w:sz w:val="28"/>
          <w:szCs w:val="28"/>
        </w:rPr>
        <w:t xml:space="preserve">обжалования решений, действий или бездействия работников </w:t>
      </w:r>
      <w:r w:rsidRPr="005A547D">
        <w:rPr>
          <w:b/>
          <w:sz w:val="28"/>
          <w:szCs w:val="28"/>
        </w:rPr>
        <w:t xml:space="preserve">КГА ПОУ </w:t>
      </w:r>
      <w:proofErr w:type="gramStart"/>
      <w:r w:rsidRPr="005A547D">
        <w:rPr>
          <w:b/>
          <w:sz w:val="28"/>
          <w:szCs w:val="28"/>
        </w:rPr>
        <w:t xml:space="preserve">ХТК </w:t>
      </w:r>
      <w:r w:rsidRPr="005A547D">
        <w:rPr>
          <w:b/>
          <w:sz w:val="28"/>
          <w:szCs w:val="28"/>
        </w:rPr>
        <w:t xml:space="preserve"> (</w:t>
      </w:r>
      <w:proofErr w:type="gramEnd"/>
      <w:r w:rsidRPr="005A547D">
        <w:rPr>
          <w:b/>
          <w:sz w:val="28"/>
          <w:szCs w:val="28"/>
        </w:rPr>
        <w:t>ее приемной комиссии)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1. Заявитель имеет право на досудебное (внесудебное) обжалование действий (бездействия) и (или) решений, принятых (осуществляемых) в ходе представления государственной услуги, Организацией, работниками Организации (далее – жалоба).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2. В случае, когда жалоба подается через представителя заявителя, в качестве документа, подтверждающего его полномочия на осуществление действий от имени заявителя, может быть представлена оформленная в соответствии с законодательством Российской Федерации доверенность (для физических лиц).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944B03">
        <w:rPr>
          <w:color w:val="auto"/>
          <w:sz w:val="28"/>
          <w:szCs w:val="28"/>
        </w:rPr>
        <w:t xml:space="preserve">3. Заявитель может обратиться с жалобой, в том числе в следующих случаях: </w:t>
      </w:r>
    </w:p>
    <w:p w:rsidR="0056471B" w:rsidRPr="00556F6F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556F6F">
        <w:rPr>
          <w:color w:val="auto"/>
          <w:sz w:val="28"/>
          <w:szCs w:val="28"/>
        </w:rPr>
        <w:t xml:space="preserve">1) нарушения срока регистрации Заявления о предоставлении государственной услуги; </w:t>
      </w:r>
    </w:p>
    <w:p w:rsidR="0056471B" w:rsidRPr="00556F6F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556F6F">
        <w:rPr>
          <w:color w:val="auto"/>
          <w:sz w:val="28"/>
          <w:szCs w:val="28"/>
        </w:rPr>
        <w:t xml:space="preserve">2) нарушения срока предоставления государственной услуги; </w:t>
      </w:r>
    </w:p>
    <w:p w:rsidR="0056471B" w:rsidRPr="00556F6F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556F6F">
        <w:rPr>
          <w:color w:val="auto"/>
          <w:sz w:val="28"/>
          <w:szCs w:val="28"/>
        </w:rPr>
        <w:t xml:space="preserve">3) требования у заявителя документов или информации либо осуществления действий, представление или осуществление которых не предусмотрено законодательством Российской Федерации и края для предоставления государственной услуги; </w:t>
      </w:r>
    </w:p>
    <w:p w:rsidR="0056471B" w:rsidRPr="00B22EB7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22EB7">
        <w:rPr>
          <w:color w:val="auto"/>
          <w:sz w:val="28"/>
          <w:szCs w:val="28"/>
        </w:rPr>
        <w:t xml:space="preserve">4) отказа в приеме документов, предоставление которых предусмотрено законодательством Российской Федерации и края для предоставления государственной услуги, у заявителя; </w:t>
      </w:r>
    </w:p>
    <w:p w:rsidR="0056471B" w:rsidRPr="00B22EB7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22EB7">
        <w:rPr>
          <w:color w:val="auto"/>
          <w:sz w:val="28"/>
          <w:szCs w:val="28"/>
        </w:rPr>
        <w:t xml:space="preserve">5) отказа в предоставлении государственной услуги, если основания отказа не предусмотрены законодательством Российской Федерации и края; </w:t>
      </w:r>
    </w:p>
    <w:p w:rsidR="0056471B" w:rsidRPr="00B22EB7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22EB7">
        <w:rPr>
          <w:color w:val="auto"/>
          <w:sz w:val="28"/>
          <w:szCs w:val="28"/>
        </w:rPr>
        <w:t xml:space="preserve">6) требования с заявителя при предоставлении государственной услуги платы, не предусмотренной законодательством Российской Федерации и края; </w:t>
      </w:r>
    </w:p>
    <w:p w:rsidR="0056471B" w:rsidRPr="00B22EB7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22EB7">
        <w:rPr>
          <w:color w:val="auto"/>
          <w:sz w:val="28"/>
          <w:szCs w:val="28"/>
        </w:rPr>
        <w:t>7)</w:t>
      </w:r>
      <w:r w:rsidRPr="00B22EB7">
        <w:t xml:space="preserve"> </w:t>
      </w:r>
      <w:r w:rsidRPr="00B22EB7">
        <w:rPr>
          <w:color w:val="auto"/>
          <w:sz w:val="28"/>
          <w:szCs w:val="28"/>
        </w:rPr>
        <w:t>отказ Организации или их работников, работников приемной комиссии Организации, в исправлении допущенных ими опечаток и ошибок в выданных в результате предоставления государственной услуги документах либо нарушение установ</w:t>
      </w:r>
      <w:r>
        <w:rPr>
          <w:color w:val="auto"/>
          <w:sz w:val="28"/>
          <w:szCs w:val="28"/>
        </w:rPr>
        <w:t>ленного срока таких исправлений;</w:t>
      </w:r>
    </w:p>
    <w:p w:rsidR="0056471B" w:rsidRPr="00B22EB7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22EB7">
        <w:rPr>
          <w:color w:val="auto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22EB7">
        <w:rPr>
          <w:color w:val="auto"/>
          <w:sz w:val="28"/>
          <w:szCs w:val="28"/>
        </w:rPr>
        <w:t>9) приостановления предоставления государственной услуги, если основания приостановления не предусмотрены законодательством Российской Федерации и края;</w:t>
      </w:r>
    </w:p>
    <w:p w:rsidR="0056471B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Pr="00944B03">
        <w:rPr>
          <w:color w:val="auto"/>
          <w:sz w:val="28"/>
          <w:szCs w:val="28"/>
        </w:rPr>
        <w:t>) требования у заявителя при предоставлении государственной услуги документов или информации, отсутствие и (или) недостоверность которых не указывались при первоначальном отказе в приеме документов, необходимых для предоставления государственной услуги, либо в предоставлении государственной услуги, за исключением случаев, указанных в части 4 подпункта 2.6.</w:t>
      </w:r>
      <w:r>
        <w:rPr>
          <w:color w:val="auto"/>
          <w:sz w:val="28"/>
          <w:szCs w:val="28"/>
        </w:rPr>
        <w:t>7</w:t>
      </w:r>
      <w:r w:rsidRPr="00944B03">
        <w:rPr>
          <w:color w:val="auto"/>
          <w:sz w:val="28"/>
          <w:szCs w:val="28"/>
        </w:rPr>
        <w:t xml:space="preserve"> настоящего административного регламента.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4. Жалоба должна содержать: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1) наименование Организации, указание на работника Организации, решения и действия (бездействие) которых обжалуются;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2) фамилию, имя, отчество (при наличии), сведения о месте жительства заявителя – физического лица, а также номер (номера) контактного телефона, адрес </w:t>
      </w:r>
      <w:r w:rsidRPr="00944B03">
        <w:rPr>
          <w:color w:val="auto"/>
          <w:sz w:val="28"/>
          <w:szCs w:val="28"/>
        </w:rPr>
        <w:lastRenderedPageBreak/>
        <w:t xml:space="preserve">(адреса) электронной почты (при наличии) и почтовый адрес, по которым должен быть направлен ответ заявителю;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3) сведения об обжалуемых решениях и действиях (бездействии) Организации, работника Организации;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4) доводы, на основании которых заявитель не согласен с решением и действием (бездействием) Организации, работника Организации. Заявителем могут быть представлены документы (при наличии), подтверждающие доводы заявителя, либо их копии.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5. Жалоба подается в письменной форме на бумажном носителе, в том числе на личном приеме заявителя, по почте либо в электронной форме.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6. В случае подачи жалобы при личном приеме заявитель представляет документ, удостоверяющий его личность в соответствии с законодательством Российской Федерации.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7. При подаче жалобы в электронном виде документы, указанные в подпункте 2 настоящей главы, могут быть представлены в форме электронных документов, подписанных простой ЭП уполномоченного лица. При</w:t>
      </w:r>
      <w:r>
        <w:rPr>
          <w:color w:val="auto"/>
          <w:sz w:val="28"/>
          <w:szCs w:val="28"/>
        </w:rPr>
        <w:t> </w:t>
      </w:r>
      <w:r w:rsidRPr="00944B03">
        <w:rPr>
          <w:color w:val="auto"/>
          <w:sz w:val="28"/>
          <w:szCs w:val="28"/>
        </w:rPr>
        <w:t xml:space="preserve">этом документ, удостоверяющий личность, не требуется.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8. В электронной форме жалоба может быть подана заявителем посредством: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официального сайта Организации;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ЕПГУ;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9. В Организации определяются работники, которые обеспечивают: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прием и регистрацию жалоб;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направление жалоб в уполномоченные на их рассмотрение Организацию в соответствии с подпунктом 5.2.1 настоящей главы;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рассмотрение жалоб в соответствии с требованиями законодательства Российской Федерации.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10. По результатам рассмотрения жалобы Организация принимают одно из следующих решений: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жалоба удовлетворяется, в том числе в форме отмены принятого решения, возврата заявителю денежных средств, взимание которых не предусмотрено законодательством Российской Федерации;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в удовлетворении жалобы отказывают по основаниям, предусмотренным пунктом 18 настоящего административного регламента.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11. При удовлетворении жалобы Организация принимает исчерпывающие меры по устранению выявленных нарушений, в том числе по выдаче заявителю результата государственной услуги, не позднее пяти рабочих дней со дня принятия решения, если иное не установлено законодательством Российской Федерации.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12. Не позднее дня, следующего за днем принятия решения, указанного в подпункте 10 настоящей главы, заявителю в письменной форме и</w:t>
      </w:r>
      <w:r>
        <w:rPr>
          <w:color w:val="auto"/>
          <w:sz w:val="28"/>
          <w:szCs w:val="28"/>
        </w:rPr>
        <w:t> </w:t>
      </w:r>
      <w:r w:rsidRPr="00944B03">
        <w:rPr>
          <w:color w:val="auto"/>
          <w:sz w:val="28"/>
          <w:szCs w:val="28"/>
        </w:rPr>
        <w:t>по</w:t>
      </w:r>
      <w:r>
        <w:rPr>
          <w:color w:val="auto"/>
          <w:sz w:val="28"/>
          <w:szCs w:val="28"/>
        </w:rPr>
        <w:t> </w:t>
      </w:r>
      <w:r w:rsidRPr="00944B03">
        <w:rPr>
          <w:color w:val="auto"/>
          <w:sz w:val="28"/>
          <w:szCs w:val="28"/>
        </w:rPr>
        <w:t>желанию заявителя в электронной форме направляется мотивированный ответ о результатах рассмотрения жалобы.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lastRenderedPageBreak/>
        <w:t>13. Ответ по результатам рассмотрения жалобы подписывается уполномоченным на рассмотрение жалобы работником Организации.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14.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15. В случае признания жалобы подлежащей удовлетворению в ответе заявителю дается информация о действиях, осуществляемых Организацией, в 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 дальнейших действиях, которые необходимо совершить заявителю в целях получения государственной услуги.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16. В случае признания жалобы, не подлежащей удовлетворению, в 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17. В ответе по результатам рассмотрения жалобы указываются: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1) наименование Организации, рассмотревшей жалобу, должность, фамилия, имя, отчество (при наличии) должностного лица и (или) работника, принявшего решение по жалобе;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2) номер, дата, место принятия решения, включая сведения о должностном лице, работнике, решение или действие (бездействие) которого обжалуется;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3) фамилия, имя, отчество (при наличии) или наименование заявителя;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4) основания для принятия решения по жалобе;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5) принятое по жалобе решение;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6) в случае</w:t>
      </w:r>
      <w:r>
        <w:rPr>
          <w:color w:val="auto"/>
          <w:sz w:val="28"/>
          <w:szCs w:val="28"/>
        </w:rPr>
        <w:t>,</w:t>
      </w:r>
      <w:r w:rsidRPr="00944B03">
        <w:rPr>
          <w:color w:val="auto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услуги, а также информация, указанная в пункте 15 настоящего административного регламента;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7) информация о порядке обжалования принятого по жалобе решения.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18. Организация отказывает в удовлетворении жалобы в следующих случаях: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наличия вступившего в законную силу решения суда, арбитражного суда по жалобе о том же предмете и по тем же основаниям;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подачи жалобы лицом, полномочия которого не подтверждены в порядке, установленном законодательством Российской Федерации;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наличия решения по жалобе, принятого ранее в соответствии с требованиями законодательства Российской Федерации в отношении того же заявителя и по тому же предмету жалобы.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19. Организация вправе оставить жалобу без ответа в следующих случаях: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наличия в жалобе нецензурных либо оскорбительных выражений, угроз жизни, здоровью и имуществу должностного лица, работника, а также членов его семьи;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20. Организация сообщает заявителю об оставлении жалобы без ответа в течение трех рабочих дней со дня регистрации жалобы.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lastRenderedPageBreak/>
        <w:t xml:space="preserve">21. Заявитель вправе обжаловать принятое по жалобе решение в судебном порядке в соответствии с законодательством Российской Федерации.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pacing w:val="-4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22. 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об административных правонарушениях Российской Федерации, </w:t>
      </w:r>
      <w:r w:rsidRPr="00E61B29">
        <w:rPr>
          <w:color w:val="auto"/>
          <w:sz w:val="28"/>
          <w:szCs w:val="28"/>
        </w:rPr>
        <w:t xml:space="preserve">или преступления </w:t>
      </w:r>
      <w:r w:rsidRPr="00944B03">
        <w:rPr>
          <w:color w:val="auto"/>
          <w:sz w:val="28"/>
          <w:szCs w:val="28"/>
        </w:rPr>
        <w:t>должностное лицо Организации или работник, уполномоченный на рассмотрение жалоб, незамедлительно направляет имеющиеся материалы в органы прокуратуры.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23. Организация обеспечивает: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оснащение мест приема жалоб;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информирование заявителей о порядке обжалования решений и действий (бездействия) Организации, работников Организации посредством размещения информации на стендах в местах предоставления государственной услуги, на официальном сайте Организации, ЕПГУ; 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консультирование заявителей о порядке обжалования решений и действий (бездействия) Организации, работников Организации, в том числе по телефону, электронной почте, при личном приеме.</w:t>
      </w:r>
    </w:p>
    <w:p w:rsidR="0056471B" w:rsidRPr="00944B03" w:rsidRDefault="0056471B" w:rsidP="0056471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pacing w:val="-6"/>
          <w:sz w:val="28"/>
          <w:szCs w:val="28"/>
        </w:rPr>
        <w:t>24. Сведения о содержании жалоб подлежат размещению в 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услуг, в соответствии с 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 ноября 2012 г. № 1198 "О федеральной</w:t>
      </w:r>
      <w:r w:rsidRPr="00944B03">
        <w:rPr>
          <w:color w:val="auto"/>
          <w:sz w:val="28"/>
          <w:szCs w:val="28"/>
        </w:rPr>
        <w:t xml:space="preserve">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 муниципальных услуг". </w:t>
      </w:r>
    </w:p>
    <w:p w:rsidR="00CE5D9D" w:rsidRDefault="00CE5D9D"/>
    <w:sectPr w:rsidR="00CE5D9D" w:rsidSect="005A54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36"/>
    <w:rsid w:val="00513338"/>
    <w:rsid w:val="0056471B"/>
    <w:rsid w:val="005A547D"/>
    <w:rsid w:val="00952836"/>
    <w:rsid w:val="00C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757F4-2A06-4427-98FE-5E1BEF2D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3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71B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NMironenko</dc:creator>
  <cp:keywords/>
  <dc:description/>
  <cp:lastModifiedBy>NMironenko</cp:lastModifiedBy>
  <cp:revision>2</cp:revision>
  <dcterms:created xsi:type="dcterms:W3CDTF">2022-06-28T08:09:00Z</dcterms:created>
  <dcterms:modified xsi:type="dcterms:W3CDTF">2022-06-28T09:18:00Z</dcterms:modified>
</cp:coreProperties>
</file>