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BF" w:rsidRDefault="00F546BE" w:rsidP="00B721BF">
      <w:pPr>
        <w:pStyle w:val="a8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tab/>
      </w:r>
      <w:r>
        <w:tab/>
      </w:r>
      <w:r>
        <w:tab/>
      </w:r>
      <w:r w:rsidR="004A1B27">
        <w:rPr>
          <w:sz w:val="28"/>
          <w:szCs w:val="28"/>
        </w:rPr>
        <w:t xml:space="preserve">                      УТВЕРЖДЕН</w:t>
      </w:r>
    </w:p>
    <w:p w:rsidR="00B721BF" w:rsidRDefault="004A1B27" w:rsidP="00B721BF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приказом</w:t>
      </w:r>
      <w:r w:rsidR="00B721BF">
        <w:rPr>
          <w:sz w:val="28"/>
          <w:szCs w:val="28"/>
        </w:rPr>
        <w:t xml:space="preserve"> министерства</w:t>
      </w:r>
    </w:p>
    <w:p w:rsidR="00B721BF" w:rsidRDefault="00B721BF" w:rsidP="00B721BF">
      <w:pPr>
        <w:pStyle w:val="a8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B721BF" w:rsidRDefault="00B721BF" w:rsidP="00B721BF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CC7442" w:rsidRDefault="00CC7442" w:rsidP="00CC7442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F546BE" w:rsidRPr="00452441" w:rsidRDefault="00F546BE" w:rsidP="00F1358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F546BE" w:rsidRDefault="00F546BE" w:rsidP="00F13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F546BE" w:rsidRPr="00452441" w:rsidRDefault="00F546BE" w:rsidP="00F13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F546BE" w:rsidRDefault="00F546BE" w:rsidP="00F135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F546BE" w:rsidRPr="00F1358D" w:rsidRDefault="00F546BE" w:rsidP="00F1358D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135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ПЕРЕЧЕНЬ </w:t>
      </w:r>
    </w:p>
    <w:p w:rsidR="00E21D5A" w:rsidRPr="00F1358D" w:rsidRDefault="00F546BE" w:rsidP="0035380A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5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критериев и показателей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профессиональной деятельности педагогического работникадля установления соо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ветствия квалификационной категории (первой или высшей)по должности </w:t>
      </w:r>
      <w:r w:rsidR="004A3480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педагог-организатор</w:t>
      </w:r>
      <w:r w:rsidR="004A3480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3480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21D5A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вожатый</w:t>
      </w:r>
      <w:r w:rsidR="004A3480" w:rsidRPr="00F135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B721BF" w:rsidRDefault="00B721BF" w:rsidP="00F546BE">
      <w:pPr>
        <w:spacing w:before="12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11A" w:rsidRDefault="0070411A" w:rsidP="00F546BE">
      <w:pPr>
        <w:spacing w:before="12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205"/>
        <w:gridCol w:w="1134"/>
        <w:gridCol w:w="2041"/>
      </w:tblGrid>
      <w:tr w:rsidR="00884E42" w:rsidRPr="00C55DED" w:rsidTr="0035380A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E42" w:rsidRPr="00C55DED" w:rsidRDefault="00884E42" w:rsidP="00395574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E42" w:rsidRPr="00C55DED" w:rsidRDefault="00884E42" w:rsidP="00395574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E42" w:rsidRPr="00C55DED" w:rsidRDefault="00884E42" w:rsidP="00C94D0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E42" w:rsidRPr="00C55DED" w:rsidRDefault="00884E42" w:rsidP="00C94D05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C55DE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35380A" w:rsidRPr="00C55DED" w:rsidTr="0035380A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380A" w:rsidRPr="00C55DED" w:rsidRDefault="0035380A" w:rsidP="00395574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380A" w:rsidRPr="00C55DED" w:rsidRDefault="0035380A" w:rsidP="00395574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380A" w:rsidRPr="00C55DED" w:rsidRDefault="0035380A" w:rsidP="00C94D05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380A" w:rsidRPr="00C55DED" w:rsidRDefault="0035380A" w:rsidP="00C94D05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1 "Результаты освоения обучающимися образовательных программ по итогам мониторингов, проводимых организ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цией" 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28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"Динамика эффективности воспитательной деятельности образовательной организ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(на начальной ступени обучения – для старших вожатых, на основной и старшей ступенях обучения – для педагогов-организаторов)"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Достижение прогнозируемых результатов реализации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цели и задач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воспитательной программы образовательной организации по критериям и показателям эффективности, предусмотренным данной программой (на каждом из этапов):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менее 75 %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не менее 75 %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не менее 95 %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03D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полном объеме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303D" w:rsidRPr="0035380A" w:rsidRDefault="0004303D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прогнозируемых результатов реализации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цели и задач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воспитательной программы 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 организации по критериям и показателям эффективности, предусмотренным да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программой (на каждом из этапов):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менее     75 % или стабильность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не менее 75 %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не менее 75 % или стабильность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не менее 95 %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не менее 95 % или стабильность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прогнозируемых результатов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их достижения в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полном об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ъ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 (в %), участвующих в деятельности детских и юношеских общественных организаций, объединений в образовательной организации: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ниже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краевого показателя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tabs>
                <w:tab w:val="left" w:pos="6420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не ниже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краевого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выше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краевого показателя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чающихся"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 количество баллов – 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Создает условия для социализации обучающихся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планом (программой) воспитательной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(программой) воспитательной раб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ты, используя разнообразные, в том числе инновационные, формы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Создает условия для развития ученического самоуправления в пределах возрастных компете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деятельность определяют педагог и обучающиеся совместно (соуправление)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деятельность определяется обучающимися самостоятельно, педагог оказывает консультати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 помощь (самоуправление)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регулярно участвуют в социально-значимых делах, социально-образовательных проектах (не менее 2-х в год):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обучающихся (в %), с которыми работает педагогический работник, вовлеченных в соц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ально-значимые дела, социально-образовательные проекты, не менее 15 %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обучающихся (в %), с которыми работает педагогический работник,  вовлеченных в соц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ально-значимые дела, социально-образовательные проекты, не менее 25 %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меют положительные отзывы, благодарственные письма о проведенных мероприятиях на м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Организует взаимодействие обучающихся с учреждениями социально-культурной, производс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венной и других сфер (здравоохранения, образования, спорта, правопорядка):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единичные мероприятия на базе таких учреждений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регулярное взаимодействие на основе совместного планирования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Уровень мотивации  обучающихся к участию в социально-значимой деятельности (по результ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там диагностики):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средний и высокий уровень - менее 70 %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средний и высокий уровень – не менее 70 %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средний и высокий уровень – не менее 90 %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2 "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)"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hanging="108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14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"Выявление и развитие способностей обучающихся к научной (интеллектуальной), творческой, физкультурно-спортивной деятельности"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Создает условия для развития способностей обучающихся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научной (интеллектуальной), тво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ческой, физкультурно-спортивной деятельности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участвует в разработкепрограмм развития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обучающихся, имеющих способности к научной (интеллектуальной), творческой, физкультурно-спортивной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создает благоприятные условия при организации занятости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реализации их способностей, интересов  и потребностей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"Результаты участия обучающихся в конкурсных мероприятиях"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достижений деятельности органа ученического самоуправления,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детских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юношеских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общественных организаций, объединений: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Наличие участников, призёров, победителей конкурсов, фестивалей, соревнований,  выставок, смотров, сетевых проектов,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которых осуществлялось под руководством педагогич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работника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муниципального уровня (не менее 5-и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муниципального уровня (не менее 5-и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муниципального уровня (не менее 5-и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участники краевого уровня (не менее 3-х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краевого уровня (не менее 3-х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краевого уровня (не менее 3-х обучающихся)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чения и воспитания, продуктивное использование новых образовательных технологий,  транслирование в педагогических ко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онной"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67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"Продуктивное использование в воспитательной деятельности новых образовател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(воспитательных) технологий, включая информационные, а также цифровых образовател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ресурсов и средств"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Совершенствует и развивает методы и средства воспитания: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 учетом целей и задач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питательной программы образовательной организации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условий образовательной деятельности, запросов обучающихся, родителей, 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раскрывает их суть и результаты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(воспитательные) технологии: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представлено описание новых образовательных (воспитательных)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боснованно с учетом целей и задач, тематики мероприятия использует новые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 (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воспитательные) технологии, направленные на решение актуальных проблем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(воспитательными)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технологиями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уровне отдельных элементов,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комбинации отдельн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элементов разных технологий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(воспитательными)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технологиямина уровне целостной си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вых образовательных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(воспитательных)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отслеживает продуктивность использования новых образовательных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(воспитательных)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логий с применением диагностического инструментария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(воспитател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ном)  процессе: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спользует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Создает здоровьесберегающую среду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осуществляет заботу о здоровье и безопасности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у обучающихся мотивацию к здоровому образу жизни, культуру здоровья,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"Использование современных форм организации воспитательной работы"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Организует деятельность детских общественных организаций, объединений, органа ученическ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го самоуправления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досуговую деятельность обучающихся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традиционные формы организации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способствует обновлению содержания и форм деятельности детских общественных организ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ций, объединений, органа ученического самоуправления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досуг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"Система индивидуальной работы с обучающимися"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 индивидуальную работу с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социально неблагополучных семей: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 дополнительную занятость таких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обучающихся 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каникулярное и свободное от уч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 время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вовлекает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 риска в общественно-полезную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реализует совместно с органами профилактики мероприятия по предупреждению ухудшения ситуации воспитания таких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 работу с обучающимися, имеющими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проблемы в состоянии здоровья, развитии: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учитывает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психофизические особенности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таких обучающихся при провед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нии воспитательных мероприятий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создает благоприятные условия при организации занятости таких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для реализ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ции их способностей, интересов  и потребностей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"Участие в экспериментальной, инновационной деятельности"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собственного проекта, прошедшего конкурс на присвоение статуса "педагог-исследователь" в инновационной инфраструктуре в сфере образования Хабаровского края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прошедшего конкурс на присвоение  ст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туса "научно-исследовательская лаборатория", "апробационная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нальной деятельности (регулярно проводит мастер-классы, тренинги, стендовые защиты, выст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пает с докладами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дагогического образования, переподготовки и повышения квалификации: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руководителем педагогической практики студентов учреждений педагогического 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sz w:val="24"/>
                <w:szCs w:val="24"/>
              </w:rPr>
              <w:t>- является внештатным лектором образовательных организаций, осуществляющих обучение, п</w:t>
            </w:r>
            <w:r w:rsidRPr="0035380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35380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/>
                <w:sz w:val="24"/>
                <w:szCs w:val="24"/>
              </w:rPr>
              <w:t>гога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ваемого предмета (направлению деятельности), включающим  общетеоретический и предметно-технологический блоки, в объеме не менее 108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стажировки, семинары, вебинары в объеме не менее 48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самообразование, включая участие в профессиональных конференциях, круглых столах, 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профессиональным сообществом высокой квалификации педагогическ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работника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уровня образовательной о</w:t>
            </w:r>
            <w:r w:rsidR="00DC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</w:t>
            </w:r>
            <w:r w:rsidR="00DC5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</w:t>
            </w:r>
            <w:r w:rsidR="00DC5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"Награды и поощрения педагогического работника за личный вклад в повышение качества образования, успехи в профессиональной деятельности" 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hanging="108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образовательного процесса"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Участвует в разработке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программы образовательной организации или структу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подразделения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представлена воспитательная программа, но без обоснования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соответствии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социально-педагогическими условиями, целями данной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осуществляет диагностику и отслеживает результативность реализации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пр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"Участие в профессиональных конкурсах"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C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тодических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разработок; публикаций; педагогических инициатив) для педагогических работн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tabs>
                <w:tab w:val="left" w:pos="8926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ПНПО", "Учитель родного языка", "Мастер года", "Преподаватель года", "Воспитатель г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да", "Педагог-психолог года", "Сердце отдаю детям", "Самый классный классный":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 (при участии в одном конкурсе)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или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 (при участии в разных конку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сах)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не участвует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5 "Личностные и профессиональные качества педагогического работника" 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hanging="108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Профессиональная культура педагогического работника"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результатам диагн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стики)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эмпатии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обучающихся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организацией и содержанием воспитательного процесса, орг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низуемого аттестуемым педагогическим работником: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35380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проблем"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тельной комиссии, общественной палаты)</w:t>
            </w:r>
            <w:r w:rsidRPr="003538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питательном, методическом и других мероприятиях)"</w:t>
            </w:r>
          </w:p>
          <w:p w:rsidR="0035380A" w:rsidRPr="0035380A" w:rsidRDefault="0035380A" w:rsidP="00DC5610">
            <w:pPr>
              <w:widowControl w:val="0"/>
              <w:spacing w:before="60" w:after="0" w:line="240" w:lineRule="exact"/>
              <w:ind w:hanging="108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рабо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8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"Постановка педагогических задач при реализации воспитательной программы в воспитательном событии, мероприятии" (на примере конспекта воспитательного события, мер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приятия)"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8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Педагог при подготовке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воспитательного события, мероприятия</w:t>
            </w:r>
            <w:r w:rsidRPr="0035380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ставит цели, направленные на формирование личностных качеств обучающихся,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воспитанн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активной социальной жизненной позиции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ставит цели,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достижимые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воспитательного события,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использует методические приёмы,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ориентированные на коллективный поиск, обмен мнениями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представляет задачи воспитательного события, мероприятия как систему промежуточных р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конкретизирующих достижение цели события,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планирует использование методических приемов, заданий, направленных на мотивирование обучающихся,воспитанников</w:t>
            </w:r>
            <w:r w:rsidRPr="0035380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 к участию в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воспитательном событии, мероприятии</w:t>
            </w:r>
            <w:r w:rsidRPr="0035380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вовлечение их в активное участие в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мероприятии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353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реализации педагогических задач в воспитательном событии, мероприятии"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(на примере видеозаписи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роприятия)"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884E42" w:rsidRPr="0035380A" w:rsidRDefault="00884E42" w:rsidP="00DC5610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воспитательного события, мер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умеет вывести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обучающихся, воспитанников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значимую и привлекательную для них цель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поставленные цели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воспитательного события, мероприятия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направлены на формирование ли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ностных качеств обучающихся, воспитанников и активной социальной жизненной позиции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обсуждает с обучающимися, воспитанниками план действий по реализации цели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события,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реализацию цели в этапах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воспитательного события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дагога и обучающихся, воспитанников по ее достижению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цели способствуют развитию познавательных способностей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обучающихся, воспитанников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, воспитанию социально значимых качеств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мотивирования обучающихся, воспитанников к участию в воспитательном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организует постановку обучающимися, воспитанниками собственной цели деятельности в во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питательном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предлагает задания, ориентирующие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воспитанников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актуализацию имеющ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гося личностного и социального опыта и знаний в решении проблемы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использует методические приёмы вовлечения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обучающихся, воспитанников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активную де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тельность во время проведения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использует различные задания так, чтобы обучающиеся, воспитанники почувствовали знач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мость для себя своей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поддерживает интерес у обучающихся,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тематике и содержанию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воспитател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посредством организации самооценивания степени достижения личностных результатов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Компетентность педагога в  вопросах содержания воспитания: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воспитательном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прослеживается логическая взаимосвязь его подгот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вительной части, цели, содержания, этапов, результата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содержание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 ориентировано на формирование общес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венного мнения коллектива и мнение отдельных обучающихся, воспитанников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содержание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 ориентировано на приобретение обуча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щимися, воспитанниками социальных установок, ценностных ориентаций, убеждений, развитие эмоционально-волевой сферы, реализацию социальных инициатив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ные, человеческие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методах ведения воспитательного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события,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мероприятия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используемые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воспитательном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событии,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мероприятииметоды обучения соответствуют п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ставленным целям и задачам, содержанию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воспитательного материала, условиям и времени пр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ведения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умеет включить в активную деятельность обучающихся, воспитанников как при подготовке к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воспитательному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событию, </w:t>
            </w: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мероприятию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так и во время его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вой  форм деятельности обучающихся,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организует деятельность обучающихся, воспитанников так, чтобы они имели возможность с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мостоятельно делать выводы как в ходе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мероприятия, так и в его 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ключении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целесообразно использует технические средства, наглядность, атрибуты, ритуалы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демонстрирует демократический стиль в общении с обучающимися, воспитанниками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реализует право обучающегося, воспитанника на ошибку и ее исправление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проявляет искренний интерес к позиции каждого обучающегося, воспитанника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характер организуемых отношений в ходе воспитательного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события, 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мероприятия соответс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вует воспитательным задачам, возрастным особенностям и уровню развития коллектива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80A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380A" w:rsidRPr="0035380A" w:rsidRDefault="0035380A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35380A" w:rsidRPr="0035380A" w:rsidRDefault="0035380A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Достаточное максимальное количество баллов – 120</w:t>
            </w: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 Российской Федерации и/или Хабаровского края" </w:t>
            </w:r>
          </w:p>
          <w:p w:rsidR="00884E42" w:rsidRPr="0035380A" w:rsidRDefault="00884E42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края", "Заслуженный работник здравоохранения  Хабаровского края",  почетный знак Правительства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884E42" w:rsidRPr="0035380A" w:rsidRDefault="00884E42" w:rsidP="00DC5610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краевого этапа Всероссийских конкурсов профессионального мастерства: "Воспитатель года", "Сердце отдаю детям"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мастерства: "Воспитатель года", "Сердце отдаю детям"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651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краевого этапа конкурса "Самый классный классный"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53651" w:rsidRPr="0035380A" w:rsidRDefault="00653651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884E42" w:rsidRPr="0035380A" w:rsidRDefault="00884E42" w:rsidP="00DC5610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84E42" w:rsidRPr="00C55DED" w:rsidTr="0035380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5380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4E42" w:rsidRPr="0035380A" w:rsidRDefault="00884E42" w:rsidP="00DC5610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4E42" w:rsidRDefault="00884E42" w:rsidP="00F546BE">
      <w:pPr>
        <w:spacing w:before="120"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614" w:rsidRDefault="00602614" w:rsidP="00F546BE">
      <w:pPr>
        <w:spacing w:after="0" w:line="240" w:lineRule="exact"/>
        <w:rPr>
          <w:color w:val="000000" w:themeColor="text1"/>
        </w:rPr>
      </w:pPr>
    </w:p>
    <w:p w:rsidR="00F546BE" w:rsidRDefault="00F546BE" w:rsidP="00F546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F546BE" w:rsidRPr="000E5477" w:rsidRDefault="00F546BE" w:rsidP="00F546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О.Л. Просекова</w:t>
      </w:r>
    </w:p>
    <w:p w:rsidR="00F546BE" w:rsidRPr="009D4918" w:rsidRDefault="00F546BE" w:rsidP="00F546BE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p w:rsidR="00F546BE" w:rsidRPr="003451F8" w:rsidRDefault="00F546BE" w:rsidP="00185B6B">
      <w:pPr>
        <w:spacing w:before="60" w:after="60" w:line="200" w:lineRule="exact"/>
        <w:rPr>
          <w:color w:val="000000" w:themeColor="text1"/>
        </w:rPr>
      </w:pPr>
    </w:p>
    <w:sectPr w:rsidR="00F546BE" w:rsidRPr="003451F8" w:rsidSect="0035380A">
      <w:headerReference w:type="default" r:id="rId8"/>
      <w:headerReference w:type="first" r:id="rId9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7D" w:rsidRDefault="00FE6F7D" w:rsidP="00F546BE">
      <w:pPr>
        <w:spacing w:after="0" w:line="240" w:lineRule="auto"/>
      </w:pPr>
      <w:r>
        <w:separator/>
      </w:r>
    </w:p>
  </w:endnote>
  <w:endnote w:type="continuationSeparator" w:id="1">
    <w:p w:rsidR="00FE6F7D" w:rsidRDefault="00FE6F7D" w:rsidP="00F5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7D" w:rsidRDefault="00FE6F7D" w:rsidP="00F546BE">
      <w:pPr>
        <w:spacing w:after="0" w:line="240" w:lineRule="auto"/>
      </w:pPr>
      <w:r>
        <w:separator/>
      </w:r>
    </w:p>
  </w:footnote>
  <w:footnote w:type="continuationSeparator" w:id="1">
    <w:p w:rsidR="00FE6F7D" w:rsidRDefault="00FE6F7D" w:rsidP="00F5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589"/>
      <w:docPartObj>
        <w:docPartGallery w:val="Page Numbers (Top of Page)"/>
        <w:docPartUnique/>
      </w:docPartObj>
    </w:sdtPr>
    <w:sdtContent>
      <w:p w:rsidR="0035380A" w:rsidRDefault="0030253B">
        <w:pPr>
          <w:pStyle w:val="a9"/>
          <w:jc w:val="center"/>
        </w:pPr>
        <w:r>
          <w:fldChar w:fldCharType="begin"/>
        </w:r>
        <w:r w:rsidR="0070411A">
          <w:instrText xml:space="preserve"> PAGE   \* MERGEFORMAT </w:instrText>
        </w:r>
        <w:r>
          <w:fldChar w:fldCharType="separate"/>
        </w:r>
        <w:r w:rsidR="00AA1EF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5380A" w:rsidRDefault="0035380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0A" w:rsidRDefault="0035380A" w:rsidP="0035380A">
    <w:pPr>
      <w:pStyle w:val="a9"/>
    </w:pPr>
  </w:p>
  <w:p w:rsidR="0035380A" w:rsidRDefault="003538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372AF"/>
    <w:multiLevelType w:val="hybridMultilevel"/>
    <w:tmpl w:val="E0A01942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9D7"/>
    <w:rsid w:val="000042D5"/>
    <w:rsid w:val="000046BF"/>
    <w:rsid w:val="000066A6"/>
    <w:rsid w:val="00011DB4"/>
    <w:rsid w:val="00027528"/>
    <w:rsid w:val="00031EDC"/>
    <w:rsid w:val="00037B5B"/>
    <w:rsid w:val="000416D3"/>
    <w:rsid w:val="000417D9"/>
    <w:rsid w:val="000425C2"/>
    <w:rsid w:val="0004303D"/>
    <w:rsid w:val="00046673"/>
    <w:rsid w:val="0005594C"/>
    <w:rsid w:val="00062E0A"/>
    <w:rsid w:val="00065B43"/>
    <w:rsid w:val="00073065"/>
    <w:rsid w:val="0007488A"/>
    <w:rsid w:val="000806E0"/>
    <w:rsid w:val="00081983"/>
    <w:rsid w:val="00083E3A"/>
    <w:rsid w:val="00092802"/>
    <w:rsid w:val="00094488"/>
    <w:rsid w:val="000A3D00"/>
    <w:rsid w:val="000B2016"/>
    <w:rsid w:val="000B2488"/>
    <w:rsid w:val="000C2FE9"/>
    <w:rsid w:val="000C7A59"/>
    <w:rsid w:val="000D0412"/>
    <w:rsid w:val="000D0910"/>
    <w:rsid w:val="000D203F"/>
    <w:rsid w:val="000D386F"/>
    <w:rsid w:val="000E0430"/>
    <w:rsid w:val="000E1F04"/>
    <w:rsid w:val="000E6183"/>
    <w:rsid w:val="000E6EA7"/>
    <w:rsid w:val="000F4E44"/>
    <w:rsid w:val="00101B0C"/>
    <w:rsid w:val="00103188"/>
    <w:rsid w:val="001065AF"/>
    <w:rsid w:val="001113C8"/>
    <w:rsid w:val="00116AB4"/>
    <w:rsid w:val="001242FE"/>
    <w:rsid w:val="0013207C"/>
    <w:rsid w:val="00137889"/>
    <w:rsid w:val="001438C3"/>
    <w:rsid w:val="00143CD5"/>
    <w:rsid w:val="00144CFC"/>
    <w:rsid w:val="00145E54"/>
    <w:rsid w:val="0015091C"/>
    <w:rsid w:val="00164CBA"/>
    <w:rsid w:val="00166705"/>
    <w:rsid w:val="00166E5E"/>
    <w:rsid w:val="00170FC0"/>
    <w:rsid w:val="00170FC7"/>
    <w:rsid w:val="00174035"/>
    <w:rsid w:val="00174AF1"/>
    <w:rsid w:val="00184FCC"/>
    <w:rsid w:val="00185B6B"/>
    <w:rsid w:val="00185F68"/>
    <w:rsid w:val="001863C5"/>
    <w:rsid w:val="001878DA"/>
    <w:rsid w:val="001921FA"/>
    <w:rsid w:val="001958B6"/>
    <w:rsid w:val="001A1448"/>
    <w:rsid w:val="001A5695"/>
    <w:rsid w:val="001A787E"/>
    <w:rsid w:val="001C555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4955"/>
    <w:rsid w:val="001F5F2F"/>
    <w:rsid w:val="001F6301"/>
    <w:rsid w:val="001F7DDF"/>
    <w:rsid w:val="00203A05"/>
    <w:rsid w:val="002079A8"/>
    <w:rsid w:val="00211E6B"/>
    <w:rsid w:val="0021283A"/>
    <w:rsid w:val="00217C9C"/>
    <w:rsid w:val="00224460"/>
    <w:rsid w:val="0023305A"/>
    <w:rsid w:val="002330E9"/>
    <w:rsid w:val="002340E6"/>
    <w:rsid w:val="002342DC"/>
    <w:rsid w:val="00240763"/>
    <w:rsid w:val="00241761"/>
    <w:rsid w:val="00246D05"/>
    <w:rsid w:val="00247BD9"/>
    <w:rsid w:val="0025544B"/>
    <w:rsid w:val="002620A2"/>
    <w:rsid w:val="002656A1"/>
    <w:rsid w:val="00265C4D"/>
    <w:rsid w:val="002737C2"/>
    <w:rsid w:val="0028057C"/>
    <w:rsid w:val="00280E83"/>
    <w:rsid w:val="00280E85"/>
    <w:rsid w:val="0028687C"/>
    <w:rsid w:val="0029041A"/>
    <w:rsid w:val="0029225A"/>
    <w:rsid w:val="00294A1C"/>
    <w:rsid w:val="00294E5E"/>
    <w:rsid w:val="002960C9"/>
    <w:rsid w:val="002963DE"/>
    <w:rsid w:val="002A1993"/>
    <w:rsid w:val="002A263A"/>
    <w:rsid w:val="002A2E2E"/>
    <w:rsid w:val="002B13AC"/>
    <w:rsid w:val="002B5F23"/>
    <w:rsid w:val="002C59B2"/>
    <w:rsid w:val="002D0D9F"/>
    <w:rsid w:val="002D72A1"/>
    <w:rsid w:val="002E4739"/>
    <w:rsid w:val="002E62A1"/>
    <w:rsid w:val="002E77AD"/>
    <w:rsid w:val="002F2384"/>
    <w:rsid w:val="002F6D19"/>
    <w:rsid w:val="003006A7"/>
    <w:rsid w:val="00301F55"/>
    <w:rsid w:val="0030253B"/>
    <w:rsid w:val="00304A0A"/>
    <w:rsid w:val="003123AA"/>
    <w:rsid w:val="00313E36"/>
    <w:rsid w:val="00321B6E"/>
    <w:rsid w:val="0032286D"/>
    <w:rsid w:val="003316C6"/>
    <w:rsid w:val="0033533A"/>
    <w:rsid w:val="00337964"/>
    <w:rsid w:val="00341AF2"/>
    <w:rsid w:val="00343BA1"/>
    <w:rsid w:val="003451F8"/>
    <w:rsid w:val="0035380A"/>
    <w:rsid w:val="00360872"/>
    <w:rsid w:val="00360A45"/>
    <w:rsid w:val="00363330"/>
    <w:rsid w:val="00363821"/>
    <w:rsid w:val="0037795E"/>
    <w:rsid w:val="00380313"/>
    <w:rsid w:val="0038419E"/>
    <w:rsid w:val="00391C62"/>
    <w:rsid w:val="00395574"/>
    <w:rsid w:val="003A13C1"/>
    <w:rsid w:val="003B18D3"/>
    <w:rsid w:val="003B42CF"/>
    <w:rsid w:val="003B6764"/>
    <w:rsid w:val="003C2121"/>
    <w:rsid w:val="003D0656"/>
    <w:rsid w:val="003D43ED"/>
    <w:rsid w:val="003E3792"/>
    <w:rsid w:val="003E752B"/>
    <w:rsid w:val="003E76F6"/>
    <w:rsid w:val="003E7FE7"/>
    <w:rsid w:val="003F7C7A"/>
    <w:rsid w:val="00400037"/>
    <w:rsid w:val="00401D81"/>
    <w:rsid w:val="00403556"/>
    <w:rsid w:val="00414F76"/>
    <w:rsid w:val="00415B12"/>
    <w:rsid w:val="00430B7D"/>
    <w:rsid w:val="00435591"/>
    <w:rsid w:val="00450B7B"/>
    <w:rsid w:val="00464544"/>
    <w:rsid w:val="00465DA6"/>
    <w:rsid w:val="00467044"/>
    <w:rsid w:val="00474015"/>
    <w:rsid w:val="0048090B"/>
    <w:rsid w:val="00481D28"/>
    <w:rsid w:val="00485290"/>
    <w:rsid w:val="00490675"/>
    <w:rsid w:val="004973D9"/>
    <w:rsid w:val="004A1B27"/>
    <w:rsid w:val="004A2AF6"/>
    <w:rsid w:val="004A3480"/>
    <w:rsid w:val="004A6CEE"/>
    <w:rsid w:val="004B4DAB"/>
    <w:rsid w:val="004B7ADD"/>
    <w:rsid w:val="004C40F3"/>
    <w:rsid w:val="004D32C4"/>
    <w:rsid w:val="004D3CFA"/>
    <w:rsid w:val="004D46CC"/>
    <w:rsid w:val="004D5B5F"/>
    <w:rsid w:val="004E0136"/>
    <w:rsid w:val="004E4140"/>
    <w:rsid w:val="004E5A69"/>
    <w:rsid w:val="004F18BE"/>
    <w:rsid w:val="00501410"/>
    <w:rsid w:val="005034DB"/>
    <w:rsid w:val="00513BCB"/>
    <w:rsid w:val="005252B9"/>
    <w:rsid w:val="00525B97"/>
    <w:rsid w:val="00527B51"/>
    <w:rsid w:val="00530644"/>
    <w:rsid w:val="00540C1B"/>
    <w:rsid w:val="00560482"/>
    <w:rsid w:val="00561CF2"/>
    <w:rsid w:val="00563630"/>
    <w:rsid w:val="00567FB3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5B5"/>
    <w:rsid w:val="005859B7"/>
    <w:rsid w:val="00586727"/>
    <w:rsid w:val="00596114"/>
    <w:rsid w:val="005A6AF0"/>
    <w:rsid w:val="005B0251"/>
    <w:rsid w:val="005C51FB"/>
    <w:rsid w:val="005C609A"/>
    <w:rsid w:val="005C750E"/>
    <w:rsid w:val="005D7308"/>
    <w:rsid w:val="005E0AD1"/>
    <w:rsid w:val="005E17AC"/>
    <w:rsid w:val="005E1D38"/>
    <w:rsid w:val="005F4D1C"/>
    <w:rsid w:val="005F5043"/>
    <w:rsid w:val="00602614"/>
    <w:rsid w:val="00610214"/>
    <w:rsid w:val="00613F0D"/>
    <w:rsid w:val="00624B67"/>
    <w:rsid w:val="00630F4B"/>
    <w:rsid w:val="00631814"/>
    <w:rsid w:val="00632DC7"/>
    <w:rsid w:val="00633C7F"/>
    <w:rsid w:val="00636FAF"/>
    <w:rsid w:val="00651EB2"/>
    <w:rsid w:val="00653651"/>
    <w:rsid w:val="00664C7F"/>
    <w:rsid w:val="006723D9"/>
    <w:rsid w:val="00676701"/>
    <w:rsid w:val="00683C98"/>
    <w:rsid w:val="00683E62"/>
    <w:rsid w:val="00690F46"/>
    <w:rsid w:val="006978A0"/>
    <w:rsid w:val="006A01A3"/>
    <w:rsid w:val="006A1A7E"/>
    <w:rsid w:val="006A2131"/>
    <w:rsid w:val="006A73D4"/>
    <w:rsid w:val="006B4155"/>
    <w:rsid w:val="006B7039"/>
    <w:rsid w:val="006C6112"/>
    <w:rsid w:val="006D76AB"/>
    <w:rsid w:val="006E1B36"/>
    <w:rsid w:val="006E2040"/>
    <w:rsid w:val="006E5D29"/>
    <w:rsid w:val="006F1655"/>
    <w:rsid w:val="0070411A"/>
    <w:rsid w:val="007139E1"/>
    <w:rsid w:val="00714884"/>
    <w:rsid w:val="00717440"/>
    <w:rsid w:val="00722325"/>
    <w:rsid w:val="00727375"/>
    <w:rsid w:val="00730CD0"/>
    <w:rsid w:val="0073580D"/>
    <w:rsid w:val="00735AC4"/>
    <w:rsid w:val="00737039"/>
    <w:rsid w:val="007400EF"/>
    <w:rsid w:val="007400FB"/>
    <w:rsid w:val="007430B3"/>
    <w:rsid w:val="00746453"/>
    <w:rsid w:val="0074737E"/>
    <w:rsid w:val="00747FFE"/>
    <w:rsid w:val="007527ED"/>
    <w:rsid w:val="00755891"/>
    <w:rsid w:val="0076463A"/>
    <w:rsid w:val="007655AC"/>
    <w:rsid w:val="00765D6A"/>
    <w:rsid w:val="00766240"/>
    <w:rsid w:val="0076749C"/>
    <w:rsid w:val="00770DE8"/>
    <w:rsid w:val="0077624C"/>
    <w:rsid w:val="007815FD"/>
    <w:rsid w:val="00781C97"/>
    <w:rsid w:val="007941D0"/>
    <w:rsid w:val="0079762A"/>
    <w:rsid w:val="007A4E41"/>
    <w:rsid w:val="007B2285"/>
    <w:rsid w:val="007B5BBE"/>
    <w:rsid w:val="007C07BE"/>
    <w:rsid w:val="007C0811"/>
    <w:rsid w:val="007D6F9C"/>
    <w:rsid w:val="007D7108"/>
    <w:rsid w:val="007E0613"/>
    <w:rsid w:val="007E2AA5"/>
    <w:rsid w:val="007E3B11"/>
    <w:rsid w:val="007F21FB"/>
    <w:rsid w:val="007F2AEB"/>
    <w:rsid w:val="0080294E"/>
    <w:rsid w:val="00804D5C"/>
    <w:rsid w:val="008071DB"/>
    <w:rsid w:val="00810F45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6D4B"/>
    <w:rsid w:val="00872E8B"/>
    <w:rsid w:val="008755A1"/>
    <w:rsid w:val="00875CBD"/>
    <w:rsid w:val="00876CDE"/>
    <w:rsid w:val="00876D5F"/>
    <w:rsid w:val="0087784A"/>
    <w:rsid w:val="00877BA0"/>
    <w:rsid w:val="00884E42"/>
    <w:rsid w:val="008A6844"/>
    <w:rsid w:val="008B4E4E"/>
    <w:rsid w:val="008B54D2"/>
    <w:rsid w:val="008B5BDB"/>
    <w:rsid w:val="008B5D6F"/>
    <w:rsid w:val="008C1B9B"/>
    <w:rsid w:val="008C2A7B"/>
    <w:rsid w:val="008C6C39"/>
    <w:rsid w:val="008C6E1E"/>
    <w:rsid w:val="008D29D7"/>
    <w:rsid w:val="008D3FE5"/>
    <w:rsid w:val="008D6DD0"/>
    <w:rsid w:val="008E097E"/>
    <w:rsid w:val="008E1D7C"/>
    <w:rsid w:val="008E5EF1"/>
    <w:rsid w:val="008E7D90"/>
    <w:rsid w:val="00900F22"/>
    <w:rsid w:val="009039AF"/>
    <w:rsid w:val="0090559C"/>
    <w:rsid w:val="00912567"/>
    <w:rsid w:val="00920AF5"/>
    <w:rsid w:val="00922B93"/>
    <w:rsid w:val="00926769"/>
    <w:rsid w:val="00926B67"/>
    <w:rsid w:val="00930662"/>
    <w:rsid w:val="009422D6"/>
    <w:rsid w:val="00946462"/>
    <w:rsid w:val="00952CF8"/>
    <w:rsid w:val="00953E90"/>
    <w:rsid w:val="0095485D"/>
    <w:rsid w:val="00954F58"/>
    <w:rsid w:val="0096422D"/>
    <w:rsid w:val="00967F7B"/>
    <w:rsid w:val="00972111"/>
    <w:rsid w:val="00982007"/>
    <w:rsid w:val="00984D22"/>
    <w:rsid w:val="009863CC"/>
    <w:rsid w:val="00987DC6"/>
    <w:rsid w:val="009A22D7"/>
    <w:rsid w:val="009A3C43"/>
    <w:rsid w:val="009A5C1E"/>
    <w:rsid w:val="009B1401"/>
    <w:rsid w:val="009B5984"/>
    <w:rsid w:val="009B754B"/>
    <w:rsid w:val="009C7735"/>
    <w:rsid w:val="009D15D4"/>
    <w:rsid w:val="009D2C25"/>
    <w:rsid w:val="009D424D"/>
    <w:rsid w:val="009D4446"/>
    <w:rsid w:val="009E54C4"/>
    <w:rsid w:val="009F2A3C"/>
    <w:rsid w:val="009F3706"/>
    <w:rsid w:val="009F5282"/>
    <w:rsid w:val="009F6674"/>
    <w:rsid w:val="00A128D5"/>
    <w:rsid w:val="00A15EFD"/>
    <w:rsid w:val="00A302A4"/>
    <w:rsid w:val="00A37520"/>
    <w:rsid w:val="00A403EB"/>
    <w:rsid w:val="00A4124D"/>
    <w:rsid w:val="00A42479"/>
    <w:rsid w:val="00A4452C"/>
    <w:rsid w:val="00A45095"/>
    <w:rsid w:val="00A520E9"/>
    <w:rsid w:val="00A65659"/>
    <w:rsid w:val="00A70516"/>
    <w:rsid w:val="00A73B95"/>
    <w:rsid w:val="00A7413B"/>
    <w:rsid w:val="00A743E8"/>
    <w:rsid w:val="00A82E2E"/>
    <w:rsid w:val="00A842C1"/>
    <w:rsid w:val="00A84D76"/>
    <w:rsid w:val="00A93EB0"/>
    <w:rsid w:val="00A94FDF"/>
    <w:rsid w:val="00A95CDC"/>
    <w:rsid w:val="00A96E50"/>
    <w:rsid w:val="00AA01D2"/>
    <w:rsid w:val="00AA1EF8"/>
    <w:rsid w:val="00AA48B6"/>
    <w:rsid w:val="00AA552C"/>
    <w:rsid w:val="00AA60AF"/>
    <w:rsid w:val="00AB2800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1422"/>
    <w:rsid w:val="00AF6C9F"/>
    <w:rsid w:val="00B0114B"/>
    <w:rsid w:val="00B046DF"/>
    <w:rsid w:val="00B0634B"/>
    <w:rsid w:val="00B113FA"/>
    <w:rsid w:val="00B220D1"/>
    <w:rsid w:val="00B24B93"/>
    <w:rsid w:val="00B315BF"/>
    <w:rsid w:val="00B376EF"/>
    <w:rsid w:val="00B442BB"/>
    <w:rsid w:val="00B515EB"/>
    <w:rsid w:val="00B52C07"/>
    <w:rsid w:val="00B54D7B"/>
    <w:rsid w:val="00B569F3"/>
    <w:rsid w:val="00B57664"/>
    <w:rsid w:val="00B652DC"/>
    <w:rsid w:val="00B6541D"/>
    <w:rsid w:val="00B721BF"/>
    <w:rsid w:val="00B73481"/>
    <w:rsid w:val="00B76EBA"/>
    <w:rsid w:val="00B81679"/>
    <w:rsid w:val="00B82280"/>
    <w:rsid w:val="00B82EB3"/>
    <w:rsid w:val="00B91A24"/>
    <w:rsid w:val="00B9447A"/>
    <w:rsid w:val="00B944A8"/>
    <w:rsid w:val="00B95D56"/>
    <w:rsid w:val="00B9643D"/>
    <w:rsid w:val="00B96834"/>
    <w:rsid w:val="00BA252B"/>
    <w:rsid w:val="00BA36F5"/>
    <w:rsid w:val="00BB02D9"/>
    <w:rsid w:val="00BB6054"/>
    <w:rsid w:val="00BB7BF4"/>
    <w:rsid w:val="00BC0CAE"/>
    <w:rsid w:val="00BE179E"/>
    <w:rsid w:val="00BF1A47"/>
    <w:rsid w:val="00BF3C2B"/>
    <w:rsid w:val="00BF6BC5"/>
    <w:rsid w:val="00BF7654"/>
    <w:rsid w:val="00C0672F"/>
    <w:rsid w:val="00C15C2F"/>
    <w:rsid w:val="00C17395"/>
    <w:rsid w:val="00C41533"/>
    <w:rsid w:val="00C43DE2"/>
    <w:rsid w:val="00C46F95"/>
    <w:rsid w:val="00C63779"/>
    <w:rsid w:val="00C712D2"/>
    <w:rsid w:val="00C719B7"/>
    <w:rsid w:val="00C85FAF"/>
    <w:rsid w:val="00C94D05"/>
    <w:rsid w:val="00CA54D0"/>
    <w:rsid w:val="00CA5C22"/>
    <w:rsid w:val="00CA7E08"/>
    <w:rsid w:val="00CB7970"/>
    <w:rsid w:val="00CC7442"/>
    <w:rsid w:val="00CE005C"/>
    <w:rsid w:val="00CE3573"/>
    <w:rsid w:val="00D00A7E"/>
    <w:rsid w:val="00D00A89"/>
    <w:rsid w:val="00D01164"/>
    <w:rsid w:val="00D0124F"/>
    <w:rsid w:val="00D0197B"/>
    <w:rsid w:val="00D04168"/>
    <w:rsid w:val="00D043BD"/>
    <w:rsid w:val="00D061F5"/>
    <w:rsid w:val="00D10096"/>
    <w:rsid w:val="00D1259D"/>
    <w:rsid w:val="00D12F9D"/>
    <w:rsid w:val="00D21C79"/>
    <w:rsid w:val="00D3252E"/>
    <w:rsid w:val="00D33BFE"/>
    <w:rsid w:val="00D37B0C"/>
    <w:rsid w:val="00D47158"/>
    <w:rsid w:val="00D47411"/>
    <w:rsid w:val="00D50A16"/>
    <w:rsid w:val="00D5115D"/>
    <w:rsid w:val="00D543DC"/>
    <w:rsid w:val="00D55002"/>
    <w:rsid w:val="00D57CB6"/>
    <w:rsid w:val="00D61420"/>
    <w:rsid w:val="00D614B5"/>
    <w:rsid w:val="00D62367"/>
    <w:rsid w:val="00D6320C"/>
    <w:rsid w:val="00D736FC"/>
    <w:rsid w:val="00D8097D"/>
    <w:rsid w:val="00D934E3"/>
    <w:rsid w:val="00D96A20"/>
    <w:rsid w:val="00D97101"/>
    <w:rsid w:val="00DA190D"/>
    <w:rsid w:val="00DA5F98"/>
    <w:rsid w:val="00DB5A7D"/>
    <w:rsid w:val="00DB75DF"/>
    <w:rsid w:val="00DC3C16"/>
    <w:rsid w:val="00DC4BB3"/>
    <w:rsid w:val="00DC4FB9"/>
    <w:rsid w:val="00DC5610"/>
    <w:rsid w:val="00DC6680"/>
    <w:rsid w:val="00DE4356"/>
    <w:rsid w:val="00DE5061"/>
    <w:rsid w:val="00DE5632"/>
    <w:rsid w:val="00DE6A0B"/>
    <w:rsid w:val="00DF065C"/>
    <w:rsid w:val="00DF10D2"/>
    <w:rsid w:val="00DF4489"/>
    <w:rsid w:val="00DF763F"/>
    <w:rsid w:val="00E076A9"/>
    <w:rsid w:val="00E105D4"/>
    <w:rsid w:val="00E122C6"/>
    <w:rsid w:val="00E156CA"/>
    <w:rsid w:val="00E210A9"/>
    <w:rsid w:val="00E21D5A"/>
    <w:rsid w:val="00E245AC"/>
    <w:rsid w:val="00E3160B"/>
    <w:rsid w:val="00E316E3"/>
    <w:rsid w:val="00E33BBC"/>
    <w:rsid w:val="00E343D9"/>
    <w:rsid w:val="00E366F8"/>
    <w:rsid w:val="00E4044E"/>
    <w:rsid w:val="00E464F0"/>
    <w:rsid w:val="00E53803"/>
    <w:rsid w:val="00E62329"/>
    <w:rsid w:val="00E66DA3"/>
    <w:rsid w:val="00E742BC"/>
    <w:rsid w:val="00E7529C"/>
    <w:rsid w:val="00E80E06"/>
    <w:rsid w:val="00E845D2"/>
    <w:rsid w:val="00E853FE"/>
    <w:rsid w:val="00E91D96"/>
    <w:rsid w:val="00E926F9"/>
    <w:rsid w:val="00E95AF3"/>
    <w:rsid w:val="00E96609"/>
    <w:rsid w:val="00EA3520"/>
    <w:rsid w:val="00EB07DF"/>
    <w:rsid w:val="00EB166B"/>
    <w:rsid w:val="00EB27E2"/>
    <w:rsid w:val="00EB2845"/>
    <w:rsid w:val="00EC0688"/>
    <w:rsid w:val="00ED5EB7"/>
    <w:rsid w:val="00ED7B62"/>
    <w:rsid w:val="00EF19AA"/>
    <w:rsid w:val="00EF609E"/>
    <w:rsid w:val="00F104D7"/>
    <w:rsid w:val="00F1358D"/>
    <w:rsid w:val="00F17B18"/>
    <w:rsid w:val="00F20630"/>
    <w:rsid w:val="00F216D8"/>
    <w:rsid w:val="00F221DC"/>
    <w:rsid w:val="00F25025"/>
    <w:rsid w:val="00F34136"/>
    <w:rsid w:val="00F416D6"/>
    <w:rsid w:val="00F44DC2"/>
    <w:rsid w:val="00F50925"/>
    <w:rsid w:val="00F50BC8"/>
    <w:rsid w:val="00F51D52"/>
    <w:rsid w:val="00F52767"/>
    <w:rsid w:val="00F546BE"/>
    <w:rsid w:val="00F632FA"/>
    <w:rsid w:val="00F72F98"/>
    <w:rsid w:val="00F730BE"/>
    <w:rsid w:val="00F776A4"/>
    <w:rsid w:val="00F81E13"/>
    <w:rsid w:val="00F8354B"/>
    <w:rsid w:val="00F84049"/>
    <w:rsid w:val="00F87002"/>
    <w:rsid w:val="00F9050D"/>
    <w:rsid w:val="00F9309D"/>
    <w:rsid w:val="00F97F01"/>
    <w:rsid w:val="00FA7CCD"/>
    <w:rsid w:val="00FB2C6B"/>
    <w:rsid w:val="00FB3159"/>
    <w:rsid w:val="00FB4CFE"/>
    <w:rsid w:val="00FC24F1"/>
    <w:rsid w:val="00FC44AA"/>
    <w:rsid w:val="00FC50E2"/>
    <w:rsid w:val="00FC68C6"/>
    <w:rsid w:val="00FC7740"/>
    <w:rsid w:val="00FD1AE3"/>
    <w:rsid w:val="00FD34AF"/>
    <w:rsid w:val="00FD3947"/>
    <w:rsid w:val="00FE15BC"/>
    <w:rsid w:val="00FE4487"/>
    <w:rsid w:val="00FE44D7"/>
    <w:rsid w:val="00FE6F7D"/>
    <w:rsid w:val="00FF1024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9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F72F9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FFE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F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5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46BE"/>
  </w:style>
  <w:style w:type="paragraph" w:styleId="ab">
    <w:name w:val="footer"/>
    <w:basedOn w:val="a"/>
    <w:link w:val="ac"/>
    <w:uiPriority w:val="99"/>
    <w:semiHidden/>
    <w:unhideWhenUsed/>
    <w:rsid w:val="00F5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F72F9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FFE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F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5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46BE"/>
  </w:style>
  <w:style w:type="paragraph" w:styleId="ab">
    <w:name w:val="footer"/>
    <w:basedOn w:val="a"/>
    <w:link w:val="ac"/>
    <w:uiPriority w:val="99"/>
    <w:semiHidden/>
    <w:unhideWhenUsed/>
    <w:rsid w:val="00F5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1875-59F2-464B-B6FA-1341BD73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Третьякова</cp:lastModifiedBy>
  <cp:revision>2</cp:revision>
  <cp:lastPrinted>2014-12-25T00:10:00Z</cp:lastPrinted>
  <dcterms:created xsi:type="dcterms:W3CDTF">2016-11-29T00:58:00Z</dcterms:created>
  <dcterms:modified xsi:type="dcterms:W3CDTF">2016-11-29T00:58:00Z</dcterms:modified>
</cp:coreProperties>
</file>